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17901" w:rsidRDefault="0062418E">
      <w:pPr>
        <w:spacing w:line="360" w:lineRule="auto"/>
        <w:jc w:val="left"/>
        <w:rPr>
          <w:rFonts w:ascii="黑体" w:eastAsia="黑体" w:hAnsi="华文细黑" w:hint="eastAsia"/>
          <w:sz w:val="24"/>
        </w:rPr>
      </w:pPr>
      <w:r>
        <w:rPr>
          <w:rFonts w:ascii="黑体" w:eastAsia="黑体" w:hAnsi="华文细黑" w:hint="eastAsia"/>
          <w:sz w:val="24"/>
        </w:rPr>
        <w:t>附件1</w:t>
      </w:r>
    </w:p>
    <w:p w:rsidR="00D17901" w:rsidRDefault="0062418E" w:rsidP="007C0AE4">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D17901">
        <w:trPr>
          <w:trHeight w:val="605"/>
          <w:jc w:val="center"/>
        </w:trPr>
        <w:tc>
          <w:tcPr>
            <w:tcW w:w="2025" w:type="dxa"/>
            <w:vAlign w:val="center"/>
          </w:tcPr>
          <w:p w:rsidR="00D17901" w:rsidRDefault="0062418E">
            <w:pPr>
              <w:jc w:val="center"/>
              <w:rPr>
                <w:sz w:val="24"/>
              </w:rPr>
            </w:pPr>
            <w:r>
              <w:rPr>
                <w:rFonts w:hint="eastAsia"/>
                <w:sz w:val="24"/>
              </w:rPr>
              <w:t>项目名称</w:t>
            </w:r>
          </w:p>
          <w:p w:rsidR="00D17901" w:rsidRDefault="0062418E">
            <w:pPr>
              <w:jc w:val="center"/>
              <w:rPr>
                <w:sz w:val="24"/>
              </w:rPr>
            </w:pPr>
            <w:r>
              <w:rPr>
                <w:rFonts w:hint="eastAsia"/>
                <w:sz w:val="24"/>
              </w:rPr>
              <w:t>（中文）</w:t>
            </w:r>
          </w:p>
        </w:tc>
        <w:tc>
          <w:tcPr>
            <w:tcW w:w="7210" w:type="dxa"/>
            <w:gridSpan w:val="6"/>
            <w:vAlign w:val="center"/>
          </w:tcPr>
          <w:p w:rsidR="00D17901" w:rsidRDefault="0062418E">
            <w:pPr>
              <w:jc w:val="center"/>
              <w:rPr>
                <w:sz w:val="24"/>
              </w:rPr>
            </w:pPr>
            <w:r>
              <w:rPr>
                <w:rFonts w:hint="eastAsia"/>
                <w:sz w:val="24"/>
              </w:rPr>
              <w:t>电池动力船舶集装箱式移动电源编码规则</w:t>
            </w:r>
          </w:p>
        </w:tc>
      </w:tr>
      <w:tr w:rsidR="00D17901">
        <w:trPr>
          <w:trHeight w:val="605"/>
          <w:jc w:val="center"/>
        </w:trPr>
        <w:tc>
          <w:tcPr>
            <w:tcW w:w="2025" w:type="dxa"/>
            <w:vAlign w:val="center"/>
          </w:tcPr>
          <w:p w:rsidR="00D17901" w:rsidRDefault="0062418E">
            <w:pPr>
              <w:jc w:val="center"/>
              <w:rPr>
                <w:sz w:val="24"/>
              </w:rPr>
            </w:pPr>
            <w:r>
              <w:rPr>
                <w:rFonts w:hint="eastAsia"/>
                <w:sz w:val="24"/>
              </w:rPr>
              <w:t>项目名称</w:t>
            </w:r>
          </w:p>
          <w:p w:rsidR="00D17901" w:rsidRDefault="0062418E">
            <w:pPr>
              <w:jc w:val="center"/>
              <w:rPr>
                <w:sz w:val="24"/>
              </w:rPr>
            </w:pPr>
            <w:r>
              <w:rPr>
                <w:rFonts w:hint="eastAsia"/>
                <w:sz w:val="24"/>
              </w:rPr>
              <w:t>（英文）</w:t>
            </w:r>
          </w:p>
        </w:tc>
        <w:tc>
          <w:tcPr>
            <w:tcW w:w="7210" w:type="dxa"/>
            <w:gridSpan w:val="6"/>
            <w:vAlign w:val="center"/>
          </w:tcPr>
          <w:p w:rsidR="00D17901" w:rsidRDefault="0062418E">
            <w:pPr>
              <w:jc w:val="center"/>
              <w:rPr>
                <w:sz w:val="24"/>
              </w:rPr>
            </w:pPr>
            <w:r>
              <w:rPr>
                <w:rFonts w:hint="eastAsia"/>
                <w:sz w:val="24"/>
              </w:rPr>
              <w:t>Coding rules for containerized mobile power supply for battery powered ships</w:t>
            </w:r>
          </w:p>
        </w:tc>
      </w:tr>
      <w:tr w:rsidR="00D17901">
        <w:trPr>
          <w:trHeight w:val="540"/>
          <w:jc w:val="center"/>
        </w:trPr>
        <w:tc>
          <w:tcPr>
            <w:tcW w:w="2025" w:type="dxa"/>
            <w:vAlign w:val="center"/>
          </w:tcPr>
          <w:p w:rsidR="00D17901" w:rsidRDefault="0062418E">
            <w:pPr>
              <w:jc w:val="center"/>
              <w:rPr>
                <w:sz w:val="24"/>
              </w:rPr>
            </w:pPr>
            <w:r>
              <w:rPr>
                <w:rFonts w:hint="eastAsia"/>
                <w:sz w:val="24"/>
              </w:rPr>
              <w:t>制修订</w:t>
            </w:r>
          </w:p>
        </w:tc>
        <w:tc>
          <w:tcPr>
            <w:tcW w:w="2126" w:type="dxa"/>
            <w:vAlign w:val="center"/>
          </w:tcPr>
          <w:p w:rsidR="00D17901" w:rsidRDefault="0062418E">
            <w:pPr>
              <w:jc w:val="center"/>
              <w:rPr>
                <w:sz w:val="24"/>
              </w:rPr>
            </w:pPr>
            <w:r>
              <w:rPr>
                <w:rFonts w:hAnsiTheme="minorEastAsia" w:hint="eastAsia"/>
                <w:sz w:val="24"/>
              </w:rPr>
              <w:t>☑制定   □修订</w:t>
            </w:r>
          </w:p>
        </w:tc>
        <w:tc>
          <w:tcPr>
            <w:tcW w:w="1701" w:type="dxa"/>
            <w:gridSpan w:val="3"/>
            <w:vAlign w:val="center"/>
          </w:tcPr>
          <w:p w:rsidR="00D17901" w:rsidRDefault="0062418E">
            <w:pPr>
              <w:jc w:val="center"/>
              <w:rPr>
                <w:sz w:val="24"/>
              </w:rPr>
            </w:pPr>
            <w:r>
              <w:rPr>
                <w:rFonts w:hint="eastAsia"/>
                <w:sz w:val="24"/>
              </w:rPr>
              <w:t>被修订标准号</w:t>
            </w:r>
          </w:p>
        </w:tc>
        <w:tc>
          <w:tcPr>
            <w:tcW w:w="3383" w:type="dxa"/>
            <w:gridSpan w:val="2"/>
            <w:vAlign w:val="center"/>
          </w:tcPr>
          <w:p w:rsidR="00D17901" w:rsidRDefault="00D17901">
            <w:pPr>
              <w:rPr>
                <w:sz w:val="24"/>
              </w:rPr>
            </w:pPr>
          </w:p>
        </w:tc>
      </w:tr>
      <w:tr w:rsidR="00D17901">
        <w:trPr>
          <w:trHeight w:val="540"/>
          <w:jc w:val="center"/>
        </w:trPr>
        <w:tc>
          <w:tcPr>
            <w:tcW w:w="2025" w:type="dxa"/>
            <w:vAlign w:val="center"/>
          </w:tcPr>
          <w:p w:rsidR="00D17901" w:rsidRDefault="0062418E">
            <w:pPr>
              <w:jc w:val="center"/>
              <w:rPr>
                <w:sz w:val="24"/>
              </w:rPr>
            </w:pPr>
            <w:r>
              <w:rPr>
                <w:rFonts w:hint="eastAsia"/>
                <w:sz w:val="24"/>
              </w:rPr>
              <w:t>采标编号及名称</w:t>
            </w:r>
          </w:p>
        </w:tc>
        <w:tc>
          <w:tcPr>
            <w:tcW w:w="2126" w:type="dxa"/>
            <w:vAlign w:val="center"/>
          </w:tcPr>
          <w:p w:rsidR="00D17901" w:rsidRDefault="00D17901">
            <w:pPr>
              <w:jc w:val="center"/>
              <w:rPr>
                <w:rFonts w:hAnsiTheme="minorEastAsia" w:hint="eastAsia"/>
                <w:sz w:val="24"/>
              </w:rPr>
            </w:pPr>
          </w:p>
        </w:tc>
        <w:tc>
          <w:tcPr>
            <w:tcW w:w="1701" w:type="dxa"/>
            <w:gridSpan w:val="3"/>
            <w:vAlign w:val="center"/>
          </w:tcPr>
          <w:p w:rsidR="00D17901" w:rsidRDefault="0062418E">
            <w:pPr>
              <w:jc w:val="center"/>
              <w:rPr>
                <w:sz w:val="24"/>
              </w:rPr>
            </w:pPr>
            <w:r>
              <w:rPr>
                <w:rFonts w:hint="eastAsia"/>
                <w:sz w:val="24"/>
              </w:rPr>
              <w:t>采标形式</w:t>
            </w:r>
          </w:p>
        </w:tc>
        <w:tc>
          <w:tcPr>
            <w:tcW w:w="3383" w:type="dxa"/>
            <w:gridSpan w:val="2"/>
            <w:vAlign w:val="center"/>
          </w:tcPr>
          <w:p w:rsidR="00D17901" w:rsidRDefault="0062418E">
            <w:pPr>
              <w:rPr>
                <w:rFonts w:hAnsiTheme="minorEastAsia" w:hint="eastAsia"/>
                <w:sz w:val="24"/>
              </w:rPr>
            </w:pPr>
            <w:r>
              <w:rPr>
                <w:rFonts w:hAnsiTheme="minorEastAsia" w:hint="eastAsia"/>
                <w:sz w:val="24"/>
              </w:rPr>
              <w:t>□等同采用   □修改采用</w:t>
            </w:r>
          </w:p>
          <w:p w:rsidR="00D17901" w:rsidRDefault="0062418E">
            <w:pPr>
              <w:rPr>
                <w:sz w:val="24"/>
              </w:rPr>
            </w:pPr>
            <w:r>
              <w:rPr>
                <w:rFonts w:hAnsiTheme="minorEastAsia" w:hint="eastAsia"/>
                <w:sz w:val="24"/>
              </w:rPr>
              <w:t>□非等效采用</w:t>
            </w:r>
          </w:p>
        </w:tc>
      </w:tr>
      <w:tr w:rsidR="00D17901">
        <w:trPr>
          <w:trHeight w:val="540"/>
          <w:jc w:val="center"/>
        </w:trPr>
        <w:tc>
          <w:tcPr>
            <w:tcW w:w="2025" w:type="dxa"/>
            <w:vAlign w:val="center"/>
          </w:tcPr>
          <w:p w:rsidR="00D17901" w:rsidRDefault="0062418E">
            <w:pPr>
              <w:jc w:val="center"/>
              <w:rPr>
                <w:sz w:val="24"/>
              </w:rPr>
            </w:pPr>
            <w:r>
              <w:rPr>
                <w:rFonts w:hint="eastAsia"/>
                <w:sz w:val="24"/>
              </w:rPr>
              <w:t>编制周期</w:t>
            </w:r>
          </w:p>
        </w:tc>
        <w:tc>
          <w:tcPr>
            <w:tcW w:w="7210" w:type="dxa"/>
            <w:gridSpan w:val="6"/>
            <w:vAlign w:val="center"/>
          </w:tcPr>
          <w:p w:rsidR="00D17901" w:rsidRDefault="0062418E">
            <w:pPr>
              <w:rPr>
                <w:rFonts w:hAnsiTheme="minorEastAsia" w:hint="eastAsia"/>
                <w:sz w:val="24"/>
                <w:u w:val="single"/>
              </w:rPr>
            </w:pPr>
            <w:r>
              <w:rPr>
                <w:rFonts w:hAnsiTheme="minorEastAsia" w:hint="eastAsia"/>
                <w:sz w:val="24"/>
              </w:rPr>
              <w:t>☑12个月   □18个月   □其他</w:t>
            </w:r>
          </w:p>
        </w:tc>
      </w:tr>
      <w:tr w:rsidR="00D17901">
        <w:trPr>
          <w:trHeight w:val="548"/>
          <w:jc w:val="center"/>
        </w:trPr>
        <w:tc>
          <w:tcPr>
            <w:tcW w:w="2025" w:type="dxa"/>
            <w:vAlign w:val="center"/>
          </w:tcPr>
          <w:p w:rsidR="00D17901" w:rsidRDefault="0062418E">
            <w:pPr>
              <w:jc w:val="center"/>
              <w:rPr>
                <w:sz w:val="24"/>
              </w:rPr>
            </w:pPr>
            <w:r>
              <w:rPr>
                <w:rFonts w:hint="eastAsia"/>
                <w:sz w:val="24"/>
              </w:rPr>
              <w:t>起草单位</w:t>
            </w:r>
          </w:p>
        </w:tc>
        <w:tc>
          <w:tcPr>
            <w:tcW w:w="7210" w:type="dxa"/>
            <w:gridSpan w:val="6"/>
            <w:vAlign w:val="center"/>
          </w:tcPr>
          <w:p w:rsidR="00D17901" w:rsidRDefault="0062418E">
            <w:pPr>
              <w:rPr>
                <w:sz w:val="24"/>
              </w:rPr>
            </w:pPr>
            <w:r>
              <w:rPr>
                <w:rFonts w:hint="eastAsia"/>
                <w:sz w:val="24"/>
              </w:rPr>
              <w:t>绿水新航科技有限公司、中远海运发展股份有限公司、中国远洋海运集团有限公司、上海船舶运输科学研究所有限公司、澄瑞电力科技（上海）股份有限公司、中国船级社武汉规范所、寰宇东方国际集装箱（启东）有限公司、中国船舶集团有限公司综合技术经济研究院、交通运输部水运科学研究院、武汉理工船舶设计股份有限公司、宁德时代电船科技有限公司</w:t>
            </w:r>
          </w:p>
        </w:tc>
      </w:tr>
      <w:tr w:rsidR="00D17901">
        <w:trPr>
          <w:trHeight w:val="548"/>
          <w:jc w:val="center"/>
        </w:trPr>
        <w:tc>
          <w:tcPr>
            <w:tcW w:w="2025" w:type="dxa"/>
            <w:vAlign w:val="center"/>
          </w:tcPr>
          <w:p w:rsidR="00D17901" w:rsidRDefault="0062418E">
            <w:pPr>
              <w:jc w:val="center"/>
              <w:rPr>
                <w:sz w:val="24"/>
              </w:rPr>
            </w:pPr>
            <w:r>
              <w:rPr>
                <w:rFonts w:hint="eastAsia"/>
                <w:sz w:val="24"/>
              </w:rPr>
              <w:t>联系人</w:t>
            </w:r>
          </w:p>
        </w:tc>
        <w:tc>
          <w:tcPr>
            <w:tcW w:w="2126" w:type="dxa"/>
            <w:vAlign w:val="center"/>
          </w:tcPr>
          <w:p w:rsidR="00D17901" w:rsidRDefault="0062418E">
            <w:pPr>
              <w:jc w:val="center"/>
              <w:rPr>
                <w:sz w:val="24"/>
                <w:lang w:val="en-US"/>
              </w:rPr>
            </w:pPr>
            <w:r>
              <w:rPr>
                <w:rFonts w:hint="eastAsia"/>
                <w:sz w:val="24"/>
                <w:lang w:val="en-US"/>
              </w:rPr>
              <w:t>姚丹丹</w:t>
            </w:r>
          </w:p>
        </w:tc>
        <w:tc>
          <w:tcPr>
            <w:tcW w:w="850" w:type="dxa"/>
            <w:gridSpan w:val="2"/>
            <w:vAlign w:val="center"/>
          </w:tcPr>
          <w:p w:rsidR="00D17901" w:rsidRDefault="0062418E">
            <w:pPr>
              <w:jc w:val="center"/>
              <w:rPr>
                <w:sz w:val="24"/>
              </w:rPr>
            </w:pPr>
            <w:r>
              <w:rPr>
                <w:rFonts w:hint="eastAsia"/>
                <w:sz w:val="24"/>
              </w:rPr>
              <w:t>地址</w:t>
            </w:r>
          </w:p>
        </w:tc>
        <w:tc>
          <w:tcPr>
            <w:tcW w:w="4234" w:type="dxa"/>
            <w:gridSpan w:val="3"/>
            <w:vAlign w:val="center"/>
          </w:tcPr>
          <w:p w:rsidR="00D17901" w:rsidRDefault="0062418E">
            <w:pPr>
              <w:jc w:val="center"/>
              <w:rPr>
                <w:sz w:val="24"/>
                <w:lang w:val="en-US"/>
              </w:rPr>
            </w:pPr>
            <w:r>
              <w:rPr>
                <w:rFonts w:hint="eastAsia"/>
                <w:sz w:val="24"/>
                <w:lang w:val="en-US"/>
              </w:rPr>
              <w:t>上海市浦东新区滨江大道5299号中国远洋海洋大厦2楼</w:t>
            </w:r>
          </w:p>
        </w:tc>
      </w:tr>
      <w:tr w:rsidR="00D17901">
        <w:trPr>
          <w:trHeight w:val="548"/>
          <w:jc w:val="center"/>
        </w:trPr>
        <w:tc>
          <w:tcPr>
            <w:tcW w:w="2025" w:type="dxa"/>
            <w:vAlign w:val="center"/>
          </w:tcPr>
          <w:p w:rsidR="00D17901" w:rsidRDefault="0062418E">
            <w:pPr>
              <w:jc w:val="center"/>
              <w:rPr>
                <w:sz w:val="24"/>
              </w:rPr>
            </w:pPr>
            <w:r>
              <w:rPr>
                <w:rFonts w:hint="eastAsia"/>
                <w:sz w:val="24"/>
              </w:rPr>
              <w:t>电话</w:t>
            </w:r>
          </w:p>
        </w:tc>
        <w:tc>
          <w:tcPr>
            <w:tcW w:w="2126" w:type="dxa"/>
            <w:vAlign w:val="center"/>
          </w:tcPr>
          <w:p w:rsidR="00D17901" w:rsidRDefault="0062418E">
            <w:pPr>
              <w:pStyle w:val="2"/>
              <w:rPr>
                <w:lang w:val="en-US"/>
              </w:rPr>
            </w:pPr>
            <w:r>
              <w:rPr>
                <w:rFonts w:asciiTheme="minorEastAsia" w:eastAsiaTheme="minorEastAsia" w:hAnsiTheme="minorHAnsi" w:hint="eastAsia"/>
                <w:b w:val="0"/>
                <w:sz w:val="24"/>
                <w:lang w:val="en-US"/>
              </w:rPr>
              <w:t>18301800347</w:t>
            </w:r>
          </w:p>
        </w:tc>
        <w:tc>
          <w:tcPr>
            <w:tcW w:w="850" w:type="dxa"/>
            <w:gridSpan w:val="2"/>
            <w:vAlign w:val="center"/>
          </w:tcPr>
          <w:p w:rsidR="00D17901" w:rsidRDefault="0062418E">
            <w:pPr>
              <w:jc w:val="center"/>
              <w:rPr>
                <w:sz w:val="24"/>
              </w:rPr>
            </w:pPr>
            <w:r>
              <w:rPr>
                <w:rFonts w:hint="eastAsia"/>
                <w:sz w:val="24"/>
              </w:rPr>
              <w:t>邮箱</w:t>
            </w:r>
          </w:p>
        </w:tc>
        <w:tc>
          <w:tcPr>
            <w:tcW w:w="4234" w:type="dxa"/>
            <w:gridSpan w:val="3"/>
            <w:vAlign w:val="center"/>
          </w:tcPr>
          <w:p w:rsidR="00D17901" w:rsidRDefault="0062418E">
            <w:pPr>
              <w:jc w:val="center"/>
              <w:rPr>
                <w:sz w:val="24"/>
              </w:rPr>
            </w:pPr>
            <w:r>
              <w:rPr>
                <w:rFonts w:hint="eastAsia"/>
                <w:sz w:val="24"/>
              </w:rPr>
              <w:t>yao.dandan@coscoshipping.com</w:t>
            </w:r>
          </w:p>
        </w:tc>
      </w:tr>
      <w:tr w:rsidR="00D17901">
        <w:trPr>
          <w:trHeight w:val="1102"/>
          <w:jc w:val="center"/>
        </w:trPr>
        <w:tc>
          <w:tcPr>
            <w:tcW w:w="2025" w:type="dxa"/>
            <w:vAlign w:val="center"/>
          </w:tcPr>
          <w:p w:rsidR="00D17901" w:rsidRDefault="0062418E">
            <w:pPr>
              <w:jc w:val="center"/>
              <w:rPr>
                <w:sz w:val="24"/>
              </w:rPr>
            </w:pPr>
            <w:r>
              <w:rPr>
                <w:rFonts w:hint="eastAsia"/>
                <w:sz w:val="24"/>
              </w:rPr>
              <w:t>项目任务的</w:t>
            </w:r>
          </w:p>
          <w:p w:rsidR="00D17901" w:rsidRDefault="0062418E">
            <w:pPr>
              <w:jc w:val="center"/>
              <w:rPr>
                <w:sz w:val="24"/>
              </w:rPr>
            </w:pPr>
            <w:r>
              <w:rPr>
                <w:rFonts w:hint="eastAsia"/>
                <w:sz w:val="24"/>
              </w:rPr>
              <w:t>意义和必要性</w:t>
            </w:r>
          </w:p>
        </w:tc>
        <w:tc>
          <w:tcPr>
            <w:tcW w:w="7210" w:type="dxa"/>
            <w:gridSpan w:val="6"/>
          </w:tcPr>
          <w:p w:rsidR="00D17901" w:rsidRDefault="0062418E">
            <w:pPr>
              <w:ind w:firstLineChars="200" w:firstLine="480"/>
              <w:rPr>
                <w:sz w:val="24"/>
              </w:rPr>
            </w:pPr>
            <w:r>
              <w:rPr>
                <w:rFonts w:hint="eastAsia"/>
                <w:sz w:val="24"/>
              </w:rPr>
              <w:t>制定集装箱式电源编码</w:t>
            </w:r>
            <w:r>
              <w:rPr>
                <w:rFonts w:hint="eastAsia"/>
                <w:sz w:val="24"/>
                <w:lang w:val="en-US"/>
              </w:rPr>
              <w:t>规则</w:t>
            </w:r>
            <w:r>
              <w:rPr>
                <w:rFonts w:hint="eastAsia"/>
                <w:sz w:val="24"/>
              </w:rPr>
              <w:t>标准，可以引导企业按照统一的技术规范进行设计、研发和生产，推广和提升集装箱式电源的应用范围和应用水平，为正常使用或梯级利用过程中快速了解集装箱式电源状态提供科学依据，促进电动船行业发展、提升行业技术创新动力、推动集装箱式移动电源全产业链升级。</w:t>
            </w:r>
          </w:p>
          <w:p w:rsidR="00D17901" w:rsidRDefault="0062418E">
            <w:pPr>
              <w:numPr>
                <w:ilvl w:val="0"/>
                <w:numId w:val="1"/>
              </w:numPr>
              <w:ind w:firstLineChars="200" w:firstLine="480"/>
              <w:rPr>
                <w:sz w:val="24"/>
              </w:rPr>
            </w:pPr>
            <w:r>
              <w:rPr>
                <w:rFonts w:hint="eastAsia"/>
                <w:sz w:val="24"/>
              </w:rPr>
              <w:t>编码规则的制定有助于集装箱式移动电源的设计、制造、销售和回收利用技术的数字化和信息化。</w:t>
            </w:r>
          </w:p>
          <w:p w:rsidR="00D17901" w:rsidRDefault="0062418E">
            <w:pPr>
              <w:numPr>
                <w:ilvl w:val="0"/>
                <w:numId w:val="1"/>
              </w:numPr>
              <w:ind w:firstLineChars="200" w:firstLine="480"/>
              <w:rPr>
                <w:sz w:val="24"/>
              </w:rPr>
            </w:pPr>
            <w:r>
              <w:rPr>
                <w:rFonts w:hint="eastAsia"/>
                <w:sz w:val="24"/>
              </w:rPr>
              <w:t>编码规则的制定有助于电池动力船加载集装箱式移动电源的数字化和智能化。</w:t>
            </w:r>
          </w:p>
          <w:p w:rsidR="00D17901" w:rsidRDefault="0062418E">
            <w:pPr>
              <w:numPr>
                <w:ilvl w:val="0"/>
                <w:numId w:val="1"/>
              </w:numPr>
              <w:ind w:firstLineChars="200" w:firstLine="480"/>
              <w:rPr>
                <w:sz w:val="24"/>
              </w:rPr>
            </w:pPr>
            <w:r>
              <w:rPr>
                <w:rFonts w:hint="eastAsia"/>
                <w:sz w:val="24"/>
              </w:rPr>
              <w:t>编码规则的制定有助于集装箱式移动电源全寿命周期的管理运维。</w:t>
            </w:r>
          </w:p>
          <w:p w:rsidR="00D17901" w:rsidRDefault="0062418E">
            <w:pPr>
              <w:numPr>
                <w:ilvl w:val="0"/>
                <w:numId w:val="1"/>
              </w:numPr>
              <w:ind w:firstLineChars="200" w:firstLine="480"/>
              <w:rPr>
                <w:sz w:val="24"/>
              </w:rPr>
            </w:pPr>
            <w:r>
              <w:rPr>
                <w:rFonts w:hint="eastAsia"/>
                <w:sz w:val="24"/>
              </w:rPr>
              <w:t>编码规则的制定有助于建立完善的追溯管理系统和流程。</w:t>
            </w:r>
          </w:p>
        </w:tc>
      </w:tr>
      <w:tr w:rsidR="00D17901">
        <w:trPr>
          <w:trHeight w:val="581"/>
          <w:jc w:val="center"/>
        </w:trPr>
        <w:tc>
          <w:tcPr>
            <w:tcW w:w="2025" w:type="dxa"/>
            <w:vAlign w:val="center"/>
          </w:tcPr>
          <w:p w:rsidR="00D17901" w:rsidRDefault="0062418E">
            <w:pPr>
              <w:jc w:val="center"/>
              <w:rPr>
                <w:sz w:val="24"/>
              </w:rPr>
            </w:pPr>
            <w:r>
              <w:rPr>
                <w:rFonts w:hint="eastAsia"/>
                <w:sz w:val="24"/>
              </w:rPr>
              <w:t>标准适用范围</w:t>
            </w:r>
          </w:p>
          <w:p w:rsidR="00D17901" w:rsidRDefault="0062418E">
            <w:pPr>
              <w:jc w:val="center"/>
              <w:rPr>
                <w:sz w:val="24"/>
              </w:rPr>
            </w:pPr>
            <w:r>
              <w:rPr>
                <w:rFonts w:hint="eastAsia"/>
                <w:sz w:val="24"/>
              </w:rPr>
              <w:t>和主要技术内容</w:t>
            </w:r>
          </w:p>
        </w:tc>
        <w:tc>
          <w:tcPr>
            <w:tcW w:w="7210" w:type="dxa"/>
            <w:gridSpan w:val="6"/>
          </w:tcPr>
          <w:p w:rsidR="00D17901" w:rsidRDefault="0062418E">
            <w:pPr>
              <w:ind w:firstLineChars="200" w:firstLine="480"/>
              <w:rPr>
                <w:iCs/>
                <w:sz w:val="24"/>
              </w:rPr>
            </w:pPr>
            <w:r>
              <w:rPr>
                <w:rFonts w:hint="eastAsia"/>
                <w:iCs/>
                <w:sz w:val="24"/>
              </w:rPr>
              <w:t>本文件规定了电池动力船舶集装箱式移动电源在分类、识别、维修、操作等方面的编码原则和方法。</w:t>
            </w:r>
          </w:p>
          <w:p w:rsidR="00D17901" w:rsidRDefault="0062418E">
            <w:pPr>
              <w:ind w:firstLineChars="200" w:firstLine="480"/>
              <w:rPr>
                <w:iCs/>
                <w:sz w:val="24"/>
              </w:rPr>
            </w:pPr>
            <w:r>
              <w:rPr>
                <w:rFonts w:hint="eastAsia"/>
                <w:iCs/>
                <w:sz w:val="24"/>
              </w:rPr>
              <w:t>本文件适用于应用电池动力集装箱式移动电源的船舶。</w:t>
            </w:r>
          </w:p>
          <w:p w:rsidR="00D17901" w:rsidRDefault="0062418E">
            <w:pPr>
              <w:ind w:firstLineChars="200" w:firstLine="480"/>
              <w:rPr>
                <w:i/>
                <w:sz w:val="24"/>
                <w:u w:val="single"/>
              </w:rPr>
            </w:pPr>
            <w:r>
              <w:rPr>
                <w:rFonts w:hint="eastAsia"/>
                <w:iCs/>
                <w:sz w:val="24"/>
              </w:rPr>
              <w:t>主要技术内容有：设备信息编码结构、设备信息编码构成、机械设备信息编码的表现形式、机械设备信息编码的编码规则、节点代码、属性代码、各属性代码规则、属性扩展代码、结构与格式。集装箱式移动电源节点代码表、集装箱式移动电源属性代码表。</w:t>
            </w:r>
          </w:p>
        </w:tc>
      </w:tr>
      <w:tr w:rsidR="00D17901">
        <w:trPr>
          <w:trHeight w:val="834"/>
          <w:jc w:val="center"/>
        </w:trPr>
        <w:tc>
          <w:tcPr>
            <w:tcW w:w="2025" w:type="dxa"/>
            <w:vAlign w:val="center"/>
          </w:tcPr>
          <w:p w:rsidR="00D17901" w:rsidRDefault="0062418E">
            <w:pPr>
              <w:widowControl/>
              <w:jc w:val="center"/>
              <w:rPr>
                <w:rFonts w:ascii="宋体" w:hAnsi="宋体" w:hint="eastAsia"/>
                <w:sz w:val="24"/>
              </w:rPr>
            </w:pPr>
            <w:r>
              <w:rPr>
                <w:rFonts w:ascii="宋体" w:hAnsi="宋体" w:hint="eastAsia"/>
                <w:sz w:val="24"/>
              </w:rPr>
              <w:lastRenderedPageBreak/>
              <w:t>国内外情况简要说明</w:t>
            </w:r>
          </w:p>
        </w:tc>
        <w:tc>
          <w:tcPr>
            <w:tcW w:w="7210" w:type="dxa"/>
            <w:gridSpan w:val="6"/>
          </w:tcPr>
          <w:p w:rsidR="00D17901" w:rsidRDefault="0062418E">
            <w:pPr>
              <w:widowControl/>
              <w:ind w:firstLineChars="200" w:firstLine="480"/>
              <w:rPr>
                <w:rFonts w:ascii="宋体" w:hAnsi="宋体" w:hint="eastAsia"/>
                <w:sz w:val="24"/>
              </w:rPr>
            </w:pPr>
            <w:r>
              <w:rPr>
                <w:rFonts w:ascii="宋体" w:hAnsi="宋体" w:hint="eastAsia"/>
                <w:sz w:val="24"/>
              </w:rPr>
              <w:t>电池动力船舶集装箱式移动电源的编码主要用于提高安全性、促进规范管理、满足法规要求以及推动技术创新与产业升级。编码通常包含生产厂家代码、零件类型代码、规格参数、生产日期和批次等信息。这些信息以字母、数字或特殊符号的形式组合在一起，形成一个唯一的字符串作为零件的身份标识。在国内，集装箱电池零件的编码规则由行业协会、国家标准机构或企业自行制定。随着新能源产业的快速发展，相关编码标准的制定和实施也在不断完善中。集装箱式电源的编码目的主要是为了实现远程监控和管理，确保其安全可靠地运行。通过编码，可以实现对消防电源的实时监测、故障预警、远程控制等功能，从而提高集装箱电源的安全防范水平。</w:t>
            </w:r>
            <w:r w:rsidR="007C0AE4" w:rsidRPr="005B095D">
              <w:rPr>
                <w:rFonts w:ascii="宋体" w:hAnsi="宋体" w:hint="eastAsia"/>
                <w:sz w:val="24"/>
              </w:rPr>
              <w:t>GB/T 7027-2002标准提出编码的要求，本标准对照进行编写，内容上没有重复。</w:t>
            </w:r>
          </w:p>
          <w:p w:rsidR="00D17901" w:rsidRDefault="0062418E">
            <w:pPr>
              <w:widowControl/>
              <w:ind w:firstLineChars="200" w:firstLine="480"/>
              <w:rPr>
                <w:rFonts w:ascii="黑体" w:eastAsia="黑体" w:hAnsi="宋体" w:hint="eastAsia"/>
                <w:color w:val="000000"/>
                <w:sz w:val="24"/>
              </w:rPr>
            </w:pPr>
            <w:r>
              <w:rPr>
                <w:rFonts w:ascii="宋体" w:hAnsi="宋体" w:hint="eastAsia"/>
                <w:sz w:val="24"/>
              </w:rPr>
              <w:t>国外电池动力船舶集装箱式移动电源零件的编码包含联合国编号（如UN3480、UN3481等）等国际标准信息。这些编号根据《国际海运危险货物规则》等国际标准制定，用于标识电池的类型、危险性等关键信息。</w:t>
            </w:r>
            <w:r w:rsidR="007C0AE4" w:rsidRPr="005B095D">
              <w:rPr>
                <w:rFonts w:ascii="宋体" w:hAnsi="宋体" w:hint="eastAsia"/>
                <w:sz w:val="24"/>
              </w:rPr>
              <w:t>本标准是对电池产品的分解，中间产品及零件进行编码，内容没有重复。</w:t>
            </w:r>
          </w:p>
        </w:tc>
      </w:tr>
      <w:tr w:rsidR="00D17901">
        <w:trPr>
          <w:trHeight w:val="834"/>
          <w:jc w:val="center"/>
        </w:trPr>
        <w:tc>
          <w:tcPr>
            <w:tcW w:w="2025" w:type="dxa"/>
            <w:vAlign w:val="center"/>
          </w:tcPr>
          <w:p w:rsidR="00D17901" w:rsidRDefault="0062418E">
            <w:pPr>
              <w:widowControl/>
              <w:jc w:val="center"/>
              <w:rPr>
                <w:rFonts w:ascii="宋体" w:hAnsi="宋体" w:hint="eastAsia"/>
                <w:sz w:val="24"/>
              </w:rPr>
            </w:pPr>
            <w:r>
              <w:rPr>
                <w:rFonts w:ascii="宋体" w:hAnsi="宋体" w:hint="eastAsia"/>
                <w:sz w:val="24"/>
              </w:rPr>
              <w:t>技术基础及</w:t>
            </w:r>
          </w:p>
          <w:p w:rsidR="00D17901" w:rsidRDefault="0062418E">
            <w:pPr>
              <w:widowControl/>
              <w:jc w:val="center"/>
              <w:rPr>
                <w:rFonts w:ascii="宋体" w:hAnsi="宋体" w:hint="eastAsia"/>
                <w:sz w:val="24"/>
              </w:rPr>
            </w:pPr>
            <w:r>
              <w:rPr>
                <w:rFonts w:ascii="宋体" w:hAnsi="宋体" w:hint="eastAsia"/>
                <w:sz w:val="24"/>
              </w:rPr>
              <w:t>研究团队</w:t>
            </w:r>
          </w:p>
        </w:tc>
        <w:tc>
          <w:tcPr>
            <w:tcW w:w="7210" w:type="dxa"/>
            <w:gridSpan w:val="6"/>
          </w:tcPr>
          <w:p w:rsidR="00D17901" w:rsidRDefault="0062418E">
            <w:pPr>
              <w:ind w:firstLineChars="200" w:firstLine="480"/>
              <w:rPr>
                <w:sz w:val="24"/>
              </w:rPr>
            </w:pPr>
            <w:r>
              <w:rPr>
                <w:rFonts w:hint="eastAsia"/>
                <w:sz w:val="24"/>
              </w:rPr>
              <w:t>绿水新航科技有限公司、中远海运发展股份有限公司、中国远洋海运集团有限公司、上海船舶运输科学研究所有限公司、澄瑞电力科技（上海）股份有限公司、中国船级社武汉规范所、寰宇东方国际集装箱（启东）有限公司、中国船舶集团有限公司综合技术经济研究院、交通运输部水运科学研究院、武汉理工船舶设计股份有限公司、宁德时代电船科技有限公司、镇江赛尔尼柯自动化有限公司等，已经成功将集装箱式移动电源应用于电动集装箱船、电动客船等船舶中，为船舶提供了清洁、高效的能源解决方案。这些公司在集装箱式移动电源船用化过程中积累了编码规则的基本经验。</w:t>
            </w:r>
            <w:r w:rsidR="007C0AE4" w:rsidRPr="005B095D">
              <w:rPr>
                <w:rFonts w:hint="eastAsia"/>
                <w:sz w:val="24"/>
              </w:rPr>
              <w:t>目前，电动船保有量较少，整个市场的箱式电源也就是百套级别，绿水01和绿水02是国内最大的正式营运的纯电动货船，两条船使用了48个箱式电源，参研单位中的澄瑞和宁德电船也是市场上箱式电源的主要供应商，粗略估计团队厂家可占据的份额在70%以上，在电动船和箱式电源领域具有较高的技术水平和丰富的产品应用经验。</w:t>
            </w:r>
          </w:p>
        </w:tc>
      </w:tr>
      <w:tr w:rsidR="00D17901">
        <w:trPr>
          <w:trHeight w:val="944"/>
          <w:jc w:val="center"/>
        </w:trPr>
        <w:tc>
          <w:tcPr>
            <w:tcW w:w="2025" w:type="dxa"/>
            <w:vAlign w:val="center"/>
          </w:tcPr>
          <w:p w:rsidR="00D17901" w:rsidRDefault="0062418E">
            <w:pPr>
              <w:jc w:val="center"/>
              <w:rPr>
                <w:rFonts w:ascii="宋体" w:hAnsi="宋体" w:hint="eastAsia"/>
                <w:sz w:val="24"/>
              </w:rPr>
            </w:pPr>
            <w:r>
              <w:rPr>
                <w:rFonts w:ascii="宋体" w:hAnsi="宋体" w:hint="eastAsia"/>
                <w:sz w:val="24"/>
              </w:rPr>
              <w:t>申请立项单位意见</w:t>
            </w:r>
          </w:p>
        </w:tc>
        <w:tc>
          <w:tcPr>
            <w:tcW w:w="7210" w:type="dxa"/>
            <w:gridSpan w:val="6"/>
            <w:vAlign w:val="bottom"/>
          </w:tcPr>
          <w:p w:rsidR="00D17901" w:rsidRDefault="0062418E">
            <w:pPr>
              <w:wordWrap w:val="0"/>
              <w:jc w:val="right"/>
              <w:rPr>
                <w:sz w:val="24"/>
              </w:rPr>
            </w:pPr>
            <w:r>
              <w:rPr>
                <w:rFonts w:hint="eastAsia"/>
                <w:sz w:val="24"/>
              </w:rPr>
              <w:t xml:space="preserve">（盖章）                                          </w:t>
            </w:r>
          </w:p>
          <w:p w:rsidR="00D17901" w:rsidRDefault="0062418E">
            <w:pPr>
              <w:jc w:val="right"/>
              <w:rPr>
                <w:rFonts w:ascii="黑体" w:eastAsia="黑体" w:hAnsi="宋体" w:hint="eastAsia"/>
                <w:color w:val="000000"/>
                <w:sz w:val="24"/>
              </w:rPr>
            </w:pPr>
            <w:r>
              <w:rPr>
                <w:rFonts w:hint="eastAsia"/>
                <w:sz w:val="24"/>
              </w:rPr>
              <w:t>年   月   日</w:t>
            </w:r>
          </w:p>
        </w:tc>
      </w:tr>
      <w:tr w:rsidR="00D17901">
        <w:trPr>
          <w:trHeight w:val="1890"/>
          <w:jc w:val="center"/>
        </w:trPr>
        <w:tc>
          <w:tcPr>
            <w:tcW w:w="2025" w:type="dxa"/>
            <w:vAlign w:val="center"/>
          </w:tcPr>
          <w:p w:rsidR="00D17901" w:rsidRDefault="0062418E">
            <w:pPr>
              <w:jc w:val="center"/>
              <w:rPr>
                <w:sz w:val="24"/>
              </w:rPr>
            </w:pPr>
            <w:r>
              <w:rPr>
                <w:rFonts w:hint="eastAsia"/>
                <w:sz w:val="24"/>
              </w:rPr>
              <w:t>标准化学术委员会意见</w:t>
            </w:r>
          </w:p>
        </w:tc>
        <w:tc>
          <w:tcPr>
            <w:tcW w:w="2551" w:type="dxa"/>
            <w:gridSpan w:val="2"/>
            <w:vAlign w:val="bottom"/>
          </w:tcPr>
          <w:p w:rsidR="00D17901" w:rsidRDefault="0062418E">
            <w:pPr>
              <w:wordWrap w:val="0"/>
              <w:jc w:val="right"/>
              <w:rPr>
                <w:sz w:val="24"/>
              </w:rPr>
            </w:pPr>
            <w:r>
              <w:rPr>
                <w:rFonts w:hint="eastAsia"/>
                <w:sz w:val="24"/>
              </w:rPr>
              <w:t xml:space="preserve">（签名、盖章）     </w:t>
            </w:r>
          </w:p>
          <w:p w:rsidR="00D17901" w:rsidRDefault="00D17901">
            <w:pPr>
              <w:jc w:val="right"/>
              <w:rPr>
                <w:sz w:val="24"/>
              </w:rPr>
            </w:pPr>
          </w:p>
          <w:p w:rsidR="00D17901" w:rsidRDefault="00D17901">
            <w:pPr>
              <w:jc w:val="right"/>
              <w:rPr>
                <w:sz w:val="24"/>
              </w:rPr>
            </w:pPr>
          </w:p>
          <w:p w:rsidR="00D17901" w:rsidRDefault="0062418E">
            <w:pPr>
              <w:jc w:val="right"/>
              <w:rPr>
                <w:sz w:val="24"/>
              </w:rPr>
            </w:pPr>
            <w:r>
              <w:rPr>
                <w:rFonts w:hint="eastAsia"/>
                <w:sz w:val="24"/>
              </w:rPr>
              <w:t>年   月   日</w:t>
            </w:r>
          </w:p>
        </w:tc>
        <w:tc>
          <w:tcPr>
            <w:tcW w:w="1985" w:type="dxa"/>
            <w:gridSpan w:val="3"/>
            <w:vAlign w:val="center"/>
          </w:tcPr>
          <w:p w:rsidR="00D17901" w:rsidRDefault="0062418E">
            <w:pPr>
              <w:jc w:val="center"/>
              <w:rPr>
                <w:sz w:val="24"/>
              </w:rPr>
            </w:pPr>
            <w:r>
              <w:rPr>
                <w:rFonts w:hint="eastAsia"/>
                <w:sz w:val="24"/>
              </w:rPr>
              <w:t>中国造船工程学会意见</w:t>
            </w:r>
          </w:p>
        </w:tc>
        <w:tc>
          <w:tcPr>
            <w:tcW w:w="2674" w:type="dxa"/>
            <w:vAlign w:val="bottom"/>
          </w:tcPr>
          <w:p w:rsidR="00D17901" w:rsidRDefault="0062418E">
            <w:pPr>
              <w:wordWrap w:val="0"/>
              <w:jc w:val="right"/>
              <w:rPr>
                <w:sz w:val="24"/>
              </w:rPr>
            </w:pPr>
            <w:r>
              <w:rPr>
                <w:rFonts w:hint="eastAsia"/>
                <w:sz w:val="24"/>
              </w:rPr>
              <w:t xml:space="preserve">（签名、盖章）             </w:t>
            </w:r>
          </w:p>
          <w:p w:rsidR="00D17901" w:rsidRDefault="00D17901">
            <w:pPr>
              <w:jc w:val="right"/>
              <w:rPr>
                <w:sz w:val="24"/>
              </w:rPr>
            </w:pPr>
          </w:p>
          <w:p w:rsidR="00D17901" w:rsidRDefault="00D17901">
            <w:pPr>
              <w:jc w:val="right"/>
              <w:rPr>
                <w:sz w:val="24"/>
              </w:rPr>
            </w:pPr>
          </w:p>
          <w:p w:rsidR="00D17901" w:rsidRDefault="0062418E">
            <w:pPr>
              <w:jc w:val="right"/>
              <w:rPr>
                <w:sz w:val="24"/>
              </w:rPr>
            </w:pPr>
            <w:r>
              <w:rPr>
                <w:rFonts w:hint="eastAsia"/>
                <w:sz w:val="24"/>
              </w:rPr>
              <w:t>年   月   日</w:t>
            </w:r>
          </w:p>
        </w:tc>
      </w:tr>
    </w:tbl>
    <w:p w:rsidR="00D17901" w:rsidRDefault="0062418E">
      <w:pPr>
        <w:jc w:val="left"/>
      </w:pPr>
      <w:r>
        <w:rPr>
          <w:rFonts w:hAnsiTheme="minorEastAsia" w:hint="eastAsia"/>
        </w:rPr>
        <w:t>注：如本表空间不够，可另附页。</w:t>
      </w:r>
    </w:p>
    <w:sectPr w:rsidR="00D17901" w:rsidSect="00D179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F793B" w:rsidRDefault="006F793B" w:rsidP="007C0AE4">
      <w:r>
        <w:separator/>
      </w:r>
    </w:p>
  </w:endnote>
  <w:endnote w:type="continuationSeparator" w:id="0">
    <w:p w:rsidR="006F793B" w:rsidRDefault="006F793B" w:rsidP="007C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F793B" w:rsidRDefault="006F793B" w:rsidP="007C0AE4">
      <w:r>
        <w:separator/>
      </w:r>
    </w:p>
  </w:footnote>
  <w:footnote w:type="continuationSeparator" w:id="0">
    <w:p w:rsidR="006F793B" w:rsidRDefault="006F793B" w:rsidP="007C0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A9EAFD4"/>
    <w:multiLevelType w:val="singleLevel"/>
    <w:tmpl w:val="AA9EAFD4"/>
    <w:lvl w:ilvl="0">
      <w:start w:val="1"/>
      <w:numFmt w:val="decimal"/>
      <w:suff w:val="nothing"/>
      <w:lvlText w:val="%1、"/>
      <w:lvlJc w:val="left"/>
    </w:lvl>
  </w:abstractNum>
  <w:num w:numId="1" w16cid:durableId="1507986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TE3ZWEyNTE5OWMwYjFjMDkyMDA5OWQzMjNhNjk5Y2UifQ=="/>
  </w:docVars>
  <w:rsids>
    <w:rsidRoot w:val="00EB3B78"/>
    <w:rsid w:val="0022520D"/>
    <w:rsid w:val="005B095D"/>
    <w:rsid w:val="005E7D40"/>
    <w:rsid w:val="0062418E"/>
    <w:rsid w:val="006F793B"/>
    <w:rsid w:val="007C0AE4"/>
    <w:rsid w:val="00837D5D"/>
    <w:rsid w:val="00B439F8"/>
    <w:rsid w:val="00D17901"/>
    <w:rsid w:val="00EB3B78"/>
    <w:rsid w:val="01D6556A"/>
    <w:rsid w:val="06FE5D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E9F33D13-3C49-4254-B475-830C86791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7901"/>
    <w:pPr>
      <w:widowControl w:val="0"/>
      <w:jc w:val="both"/>
    </w:pPr>
    <w:rPr>
      <w:rFonts w:asciiTheme="minorEastAsia" w:cs="Times New Roman"/>
      <w:snapToGrid w:val="0"/>
      <w:sz w:val="21"/>
      <w:szCs w:val="21"/>
      <w:lang w:val="en-GB"/>
    </w:rPr>
  </w:style>
  <w:style w:type="paragraph" w:styleId="2">
    <w:name w:val="heading 2"/>
    <w:basedOn w:val="a"/>
    <w:next w:val="a"/>
    <w:uiPriority w:val="9"/>
    <w:unhideWhenUsed/>
    <w:qFormat/>
    <w:rsid w:val="00D17901"/>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7901"/>
    <w:pPr>
      <w:ind w:firstLineChars="200" w:firstLine="420"/>
    </w:pPr>
  </w:style>
  <w:style w:type="paragraph" w:styleId="a4">
    <w:name w:val="header"/>
    <w:basedOn w:val="a"/>
    <w:link w:val="a5"/>
    <w:uiPriority w:val="99"/>
    <w:semiHidden/>
    <w:unhideWhenUsed/>
    <w:rsid w:val="007C0AE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7C0AE4"/>
    <w:rPr>
      <w:rFonts w:asciiTheme="minorEastAsia" w:cs="Times New Roman"/>
      <w:snapToGrid w:val="0"/>
      <w:sz w:val="18"/>
      <w:szCs w:val="18"/>
      <w:lang w:val="en-GB"/>
    </w:rPr>
  </w:style>
  <w:style w:type="paragraph" w:styleId="a6">
    <w:name w:val="footer"/>
    <w:basedOn w:val="a"/>
    <w:link w:val="a7"/>
    <w:uiPriority w:val="99"/>
    <w:semiHidden/>
    <w:unhideWhenUsed/>
    <w:rsid w:val="007C0AE4"/>
    <w:pPr>
      <w:tabs>
        <w:tab w:val="center" w:pos="4153"/>
        <w:tab w:val="right" w:pos="8306"/>
      </w:tabs>
      <w:snapToGrid w:val="0"/>
      <w:jc w:val="left"/>
    </w:pPr>
    <w:rPr>
      <w:sz w:val="18"/>
      <w:szCs w:val="18"/>
    </w:rPr>
  </w:style>
  <w:style w:type="character" w:customStyle="1" w:styleId="a7">
    <w:name w:val="页脚 字符"/>
    <w:basedOn w:val="a0"/>
    <w:link w:val="a6"/>
    <w:uiPriority w:val="99"/>
    <w:semiHidden/>
    <w:rsid w:val="007C0AE4"/>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302</Words>
  <Characters>1722</Characters>
  <Application>Microsoft Office Word</Application>
  <DocSecurity>0</DocSecurity>
  <Lines>14</Lines>
  <Paragraphs>4</Paragraphs>
  <ScaleCrop>false</ScaleCrop>
  <Company>Microsoft</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PM</cp:lastModifiedBy>
  <cp:revision>4</cp:revision>
  <dcterms:created xsi:type="dcterms:W3CDTF">2022-08-15T06:27:00Z</dcterms:created>
  <dcterms:modified xsi:type="dcterms:W3CDTF">2024-12-04T08:25:00Z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0A99FF815B694A5EA2DF4C6F1DFF22E9</vt:lpwstr>
  </property>
</Properties>
</file>